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20"/>
        <w:jc w:val="left"/>
        <w:pBdr>
          <w:bottom w:val="nil"/>
        </w:pBdr>
      </w:pPr>
      <w:r>
        <w:t>蒋林泉 AI时代产研组织变革</w:t>
        <w:br/>
        <w:t>与业务系统开放发言整理稿</w:t>
      </w:r>
    </w:p>
    <w:p>
      <w:pPr/>
      <w:r>
        <w:t>场合： 2026 年云栖大会分享</w:t>
      </w:r>
    </w:p>
    <w:p>
      <w:pPr/>
      <w:r>
        <w:t>依据： Get笔记共享笔记（https://www.biji.com/note/share_note/7gvPNaeooYNXp）中的约 31 分 40 秒录音、文字记录和 24 张现场 PPT 照片</w:t>
      </w:r>
    </w:p>
    <w:p>
      <w:pPr/>
      <w:r>
        <w:t>整理方式： 仅保留标为蒋林泉的发言，去除会场其他人的插话；按原有顺序改写为连贯的第一人称讲稿。时间点及对应照片见文末索引。本稿是内容整理，不是逐字录音稿。录音从论证的中途开始，未见完整开场。</w:t>
      </w:r>
    </w:p>
    <w:p>
      <w:pPr>
        <w:pStyle w:val="Heading1"/>
      </w:pPr>
      <w:r>
        <w:t>AI 提效为什么不能只看代码生成 00:00—02:21</w:t>
      </w:r>
    </w:p>
    <w:p>
      <w:pPr/>
      <w:r>
        <w:t>我们先看需求从提出到上线的整个过程。编码大约只占总耗时的 20%，其余 80% 花在需求、设计、方案、联调、测试和修复等环节。再把编码拆开看，AI 最擅长生成的常规代码，虽然约占代码量的 80%，却只占编码时间的不到 35%。核心代码和非功能性关键代码需要与存量系统融合，并保证稳定性与安全性，耗时远高于它的代码量占比。</w:t>
      </w:r>
    </w:p>
    <w:p>
      <w:pPr/>
      <w:r>
        <w:t>因此，在其他环节不变的前提下，AI 容易覆盖的编码工作，折算到端到端交付时间还不到 7%。这里的 7% 是可以触及的时间范围，不等于整体效率已经提升了 7%。有些团队看到几个百分点的端到端改善，也有团队发现，AI 用得越多，骨干工程师反而越忙。初级同事借助 AI 生成了大量代码，仍要等骨干评审、测试并承担上线责任，骨干就成了新的瓶颈。</w:t>
      </w:r>
    </w:p>
    <w:p>
      <w:pPr/>
      <w:r>
        <w:t>如果跳过评审，低质量代码会更快进入系统；如果认真把关，评审、测试和上线验证的能力又会限制吞吐。没有价值和质量约束，AI 还可能让低价值功能更快上线，消耗客户注意力，同时增加系统复杂度和长期维护成本。所以，讨论 AI 提效，不能只计算生成了多少代码，而要看完整需求的交付结果。</w:t>
      </w:r>
    </w:p>
    <w:p>
      <w:pPr>
        <w:pStyle w:val="Heading1"/>
      </w:pPr>
      <w:r>
        <w:t>从人月神话看组织重构 02:22—05:35</w:t>
      </w:r>
    </w:p>
    <w:p>
      <w:pPr/>
      <w:r>
        <w:t>《人月神话》提醒我们：一个已经延期的项目，继续加人往往会更慢。新人需要理解项目上下文，老成员要拆任务、讲背景、同步接口，人与人之间的沟通链随之增加。AI 时代有了两个值得重新审视的变化。</w:t>
      </w:r>
    </w:p>
    <w:p>
      <w:pPr/>
      <w:r>
        <w:t>第一个变化，是给一个人增加 Agent，不会像增加一名同事那样，新增一整条人际沟通链。它可以在同一个人的上下文里执行任务，提升单点的交付能力。第二个变化，是一个人借助 AI 学习并实际使用相邻岗位技能的门槛大幅下降。以前我们围绕稀缺的专业技能设置岗位，让设计、前端、后端、测试等不同角色共同完成一件事；现在，一些原本必须跨岗位反复交接的工作，有机会在更少的人之间完成。</w:t>
      </w:r>
    </w:p>
    <w:p>
      <w:pPr/>
      <w:r>
        <w:t>这不是说人人立刻都能胜任所有岗位，也不是简单减少人数。真正的机会是重新审视：哪些岗位边界只是过去技能稀缺的产物，哪些沟通和等待能通过一人加 Agent 的方式消除。团队规模与交互节点下降，项目上下文也更容易保持完整。</w:t>
      </w:r>
    </w:p>
    <w:p>
      <w:pPr>
        <w:pStyle w:val="Heading1"/>
      </w:pPr>
      <w:r>
        <w:t>把验证和需求确认移到前面 05:36—09:56</w:t>
      </w:r>
    </w:p>
    <w:p>
      <w:pPr/>
      <w:r>
        <w:t>第一件可以推动的事，是测试和观测左移。过去让研发人员写测试、兼顾运维，大家不一定愿意，也确实有成本。AI 改变了投入产出比：开发者可以更快分析覆盖情况，补齐缺失用例，在最了解实现与业务上下文的时候把问题找出来。质量责任因此可以更早进入研发过程，而不是等后面的岗位来兜底。</w:t>
      </w:r>
    </w:p>
    <w:p>
      <w:pPr/>
      <w:r>
        <w:t>第二件事是需求确认左移。纸面的 PRD 很难让人准确感知软件真正用起来是什么样。借助 AI 快速做出可操作的 Live Demo，让客户和业务负责人提前体验、反馈、修正，比只围绕文档讨论更容易看清真实需求。需求越早被看准，后面因方向偏差造成的返工就越少。当然，Demo 要进入真实系统，仍然要遵守现有系统的 API 契约、数据结构和质量约束。</w:t>
      </w:r>
    </w:p>
    <w:p>
      <w:pPr/>
      <w:r>
        <w:t>这两种左移会带来岗位职责的归并。面向客户的一侧，可以逐步贯通产品、设计与前端，PPT 把它称为 PDFE；工程一侧，让架构、后端、测试与运维围绕质量责任协作，PPT 称为 ABE。两侧通过 API 契约和 Mock API 先行对齐，再做真实联调。我们希望把过去一个项目里六类岗位的交接，逐步收敛成两个更完整的责任单元。减少的核心是沟通链路和等待，并非绕开专业判断。</w:t>
      </w:r>
    </w:p>
    <w:p>
      <w:pPr>
        <w:pStyle w:val="Heading1"/>
      </w:pPr>
      <w:r>
        <w:t>存量系统需要概念完整性 09:57—11:30</w:t>
      </w:r>
    </w:p>
    <w:p>
      <w:pPr/>
      <w:r>
        <w:t>但组织和流程调整还不够。AI 可以降低 Demo 和编码成本，却不能自动消除存量软件的根本复杂性。老系统里，不同组件对同一业务对象可能有不同名称、不同字段、不同接口和不同规则。让 AI 分别读取这些局部信息，再各写一份 Spec，结果仍可能是每个组件各说各话。</w:t>
      </w:r>
    </w:p>
    <w:p>
      <w:pPr/>
      <w:r>
        <w:t>《人月神话》还有一个重要判断：没有银弹。对于复杂系统，关键是概念完整性。需要有人从跨业务域的视角定义边界、统一术语和数据字典，把冲突的口径裁决清楚，再用数据结构、API 契约和共享规范把它表达出来。架构师的作用正体现在这种跨域取舍中。</w:t>
      </w:r>
    </w:p>
    <w:p>
      <w:pPr/>
      <w:r>
        <w:t>规范驱动开发可以帮助我们利用 AI：先从现有代码、模型、文档和界面中提取事实，由人确认并维护统一的 Spec，再让 AI 按这一共享规范执行和校验。没有统一概念，只是多写 Spec，协作成本仍会回来。</w:t>
      </w:r>
    </w:p>
    <w:p>
      <w:pPr>
        <w:pStyle w:val="Heading1"/>
      </w:pPr>
      <w:r>
        <w:t>交付变快以后，价值判断成为瓶颈 11:31—13:31</w:t>
      </w:r>
    </w:p>
    <w:p>
      <w:pPr/>
      <w:r>
        <w:t>当同样的需求只需要过去一半，甚至三分之一的人力时，问题会转到另一个地方：这些需求到底值不值得做？吞吐量提升以后，组织尤其要避免把低价值需求更快地送进系统。</w:t>
      </w:r>
    </w:p>
    <w:p>
      <w:pPr/>
      <w:r>
        <w:t>我们在产品评审时，要求先讲清目标客户、真实问题和预期结果。可以借鉴 PR/FAQ 的方式，在开发前先设想面向客户的发布说明：解决了谁的什么痛点，客户为什么要使用。上线后再看目标客户的实际使用渗透率，并回访问题有没有被解决、结果是否达到预期。这样，产品的价值不是上线时的一句宣称，而是事后能够验证的结果。</w:t>
      </w:r>
    </w:p>
    <w:p>
      <w:pPr/>
      <w:r>
        <w:t>AI 会让许多技能的供给变得更充足，随之稀缺的是“品味”：能否识别真问题，能否在多个需求之间做出好的取舍，能否把完整体验做好。团队文化也应鼓励大家走向真实客户和真实场景，让组织能力随瓶颈一起转移。</w:t>
      </w:r>
    </w:p>
    <w:p>
      <w:pPr>
        <w:pStyle w:val="Heading1"/>
      </w:pPr>
      <w:r>
        <w:t>让业务系统能够被通用智能体安全使用 13:32—18:20</w:t>
      </w:r>
    </w:p>
    <w:p>
      <w:pPr/>
      <w:r>
        <w:t>接下来谈业务系统开放。通用智能体已经能帮员工写文档、做周报，但业务同学很快希望它继续完成系统里的真实工作。我们的系统原来主要面向人类点击使用。智能体通过 Browser Use、Computer Use 去操作界面时，会反复尝试、不断重试，Token 和系统资源消耗都可能远超人工操作。我们遇到过业务系统因此承受异常高负载的情况，也必须正视权限和数据安全问题。</w:t>
      </w:r>
    </w:p>
    <w:p>
      <w:pPr/>
      <w:r>
        <w:t>所以，我们开始把业务能力以适合智能体调用的方式开放出来。但开放前要先统一业务概念，再整理接口和规则，而不是把彼此矛盾的底层能力直接暴露出去。对于代员工办事的智能体，有一条硬原则：它只能沿用委托人的原有业务权限。能力接口开放得多，不意味着任何人都获得超出自身权限的数据和操作。</w:t>
      </w:r>
    </w:p>
    <w:p>
      <w:pPr/>
      <w:r>
        <w:t>我们没有要求一次开放全部能力，而是先处理使用量最高、最有代表性的部分，再和业务团队围绕具体场景逐个推进。阿里云在 2026 年 5 月将相关业务系统能力面向业务团队的智能体开放。随后几个月，调用增长很快，演讲中提到部分调用量已超过人工使用，也出现了大量以前难以排期的长尾需求。这个变化提醒我们：过去不是没有需求，而是传统交付方式让不少需求无法被表达和满足。</w:t>
      </w:r>
    </w:p>
    <w:p>
      <w:pPr>
        <w:pStyle w:val="Heading1"/>
      </w:pPr>
      <w:r>
        <w:t>从长尾探索回到平台能力 18:21—22:25</w:t>
      </w:r>
    </w:p>
    <w:p>
      <w:pPr/>
      <w:r>
        <w:t>业务团队拿到智能体后，往往会提出“给我开放某个 MCP 能力”的请求。但真正进入作业链路，我们发现阻碍未必在接口：有些关键流程还在线下，系统无法连续执行；有些数据分散、标识不统一，无法串联；有些规则依赖个人经验，没有形成可复用的标准。这些历史欠账，过去被人工协作掩盖，智能体一来就暴露出来。</w:t>
      </w:r>
    </w:p>
    <w:p>
      <w:pPr/>
      <w:r>
        <w:t>我们的做法是和业务团队一起补齐流程、数据和规则。通用智能体适合探索长尾、一次性的需求；当某些需求被反复验证、使用频率足够高，就应把共性能力沉淀为更稳定、成本更可控的一方 Agent 或平台产品。其余合理的长尾需求仍可由通用智能体承接。</w:t>
      </w:r>
    </w:p>
    <w:p>
      <w:pPr/>
      <w:r>
        <w:t>这也改变了 CIO 团队的工作方式。过去很多需求集中交给 CIO 团队排期；现在，业务团队可以自己闭环简单、垂直的需求，并对业务结果负责。CIO 团队继续支持复杂、跨域的协同，同时承担系统开放平台的维护、权限与数据治理，以及面向业务团队的开发者运营。新时代的“开发者”不只是在代码仓库里写程序的工程师，也包括用自然语言和智能体组合业务能力的同事。我们要帮助他们接入、培训、排障，并把共性问题带回平台建设。</w:t>
      </w:r>
    </w:p>
    <w:p>
      <w:pPr>
        <w:pStyle w:val="Heading1"/>
      </w:pPr>
      <w:r>
        <w:t>数字员工、RIDE 方法和产品化 22:26—28:13</w:t>
      </w:r>
    </w:p>
    <w:p>
      <w:pPr/>
      <w:r>
        <w:t>回看更早的实践，我们已经让 28 类数字员工进入真实业务场景，PPT 标示其覆盖的工作量折合 2000 多个 HC。这里的数字员工，不是能演示一段对话就算“上岗”。它必须承担原本由人完成的真实任务，接受相同业务结果的检验；在效果与效率上达到或超过相应岗位，才有资格被当作生产力使用。</w:t>
      </w:r>
    </w:p>
    <w:p>
      <w:pPr/>
      <w:r>
        <w:t>在这些实践和近百场跨行业交流中，我们把方法沉淀为 RIDE：Reorganize，重新理解组织和 AI 的生产关系；Identify，寻找重复发生、原本由人执行且能清楚衡量的任务；Define，把任务定义为产品，明确业务目标与运营指标；Execute，在真实业务中执行、评测、改进。数据与评测贯穿落地过程。如果没有足够的任务数据，也无法判断完成质量，方法看起来再合理，都很难稳定复制。</w:t>
      </w:r>
    </w:p>
    <w:p>
      <w:pPr/>
      <w:r>
        <w:t>很多企业认可这些原则，却仍觉得落地有门槛。因此，我们把阿里云自身复杂业务中反复验证的能力继续产品化，在这次分享中发布“睿系列”RaaS 产品，目标是“拟真人效果，交付真结果”。面向需要和人打交道的工作，交互必须自然；面向复杂作业，智能体必须能完成多步骤任务，并与真实员工的业务结果直接比较。我们希望把场景中的技术和方法沉淀下来，让企业客户也能使用。</w:t>
      </w:r>
    </w:p>
    <w:p>
      <w:pPr>
        <w:pStyle w:val="Heading1"/>
      </w:pPr>
      <w:r>
        <w:t>什么样的组织才可能成为 AI Native 组织 28:14—31:40</w:t>
      </w:r>
    </w:p>
    <w:p>
      <w:pPr/>
      <w:r>
        <w:t>回顾这几年的变化，我们先经历大模型进入企业，再看到 AI 编程改变产研协作，随后是通用智能体推动业务系统开放，今天又把部分实践沉淀为对外的产品。技术能力持续变化，组织也不能停在某一次调整上。</w:t>
      </w:r>
    </w:p>
    <w:p>
      <w:pPr/>
      <w:r>
        <w:t>我对 AI Native 组织的理解，不在于它给自己贴了什么标签，而在于它是否持续追踪 AI 的能力边界，识别阻碍这些能力发挥的旧流程和旧习惯，并愿意用组织变革打通瓶颈。最终的衡量标准，仍然是企业内外的真实业务价值。如果做出许多软件，却没有人使用，也没有解决问题，就谈不上有效的 AI 转型。</w:t>
      </w:r>
    </w:p>
    <w:p>
      <w:pPr/>
      <w:r>
        <w:t>我们自己的 CIO 团队也还在这个过程中。模型升级时，过去搭建的一些脚手架可能很快失效，原有做法要不断更新。因此，AI Native 不是一次性到达的终点，而是持续理解能力、调整组织、验证价值的过程。我希望我们既能向内推动阿里云的业务组织转型，也能向外分享方法和产品。今天的分享就到这里，谢谢大家。</w:t>
      </w:r>
    </w:p>
    <w:p>
      <w:pPr>
        <w:pStyle w:val="Heading1"/>
      </w:pPr>
      <w:r>
        <w:t>PPT 照片索引</w:t>
      </w:r>
    </w:p>
    <w:p>
      <w:pPr/>
      <w:r>
        <w:t>共享笔记提供的是演讲现场拍摄的幻灯片照片，并非可编辑的原始 PPT。整理后的 24 张照片已按下表顺序汇入《蒋林泉_演讲PPT照片索引.pdf》。照片画质受现场拍摄与共享页面压缩影响；本稿采用照片能确认的术语，未把机器生成的“决策分析”作为讲者原话。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2324"/>
        <w:gridCol w:w="2324"/>
        <w:gridCol w:w="2324"/>
      </w:tblGrid>
      <w:tr>
        <w:tc>
          <w:tcPr>
            <w:tcW w:type="dxa" w:w="879"/>
            <w:vAlign w:val="center"/>
            <w:shd w:fill="E9ED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时间</w:t>
            </w:r>
          </w:p>
        </w:tc>
        <w:tc>
          <w:tcPr>
            <w:tcW w:type="dxa" w:w="3685"/>
            <w:vAlign w:val="center"/>
            <w:shd w:fill="E9ED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主题</w:t>
            </w:r>
          </w:p>
        </w:tc>
        <w:tc>
          <w:tcPr>
            <w:tcW w:type="dxa" w:w="879"/>
            <w:vAlign w:val="center"/>
            <w:shd w:fill="E9ED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时间</w:t>
            </w:r>
          </w:p>
        </w:tc>
        <w:tc>
          <w:tcPr>
            <w:tcW w:type="dxa" w:w="3685"/>
            <w:vAlign w:val="center"/>
            <w:shd w:fill="E9ED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主题</w:t>
            </w:r>
          </w:p>
        </w:tc>
      </w:tr>
      <w:tr>
        <w:tc>
          <w:tcPr>
            <w:tcW w:type="dxa" w:w="8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00:14</w:t>
            </w:r>
          </w:p>
        </w:tc>
        <w:tc>
          <w:tcPr>
            <w:tcW w:type="dxa" w:w="368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AI 易提效代码的 E2E 时间占比</w:t>
            </w:r>
          </w:p>
        </w:tc>
        <w:tc>
          <w:tcPr>
            <w:tcW w:type="dxa" w:w="8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01:12</w:t>
            </w:r>
          </w:p>
        </w:tc>
        <w:tc>
          <w:tcPr>
            <w:tcW w:type="dxa" w:w="368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代码增长的价值与质量风险</w:t>
            </w:r>
          </w:p>
        </w:tc>
      </w:tr>
      <w:tr>
        <w:tc>
          <w:tcPr>
            <w:tcW w:type="dxa" w:w="879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02:10</w:t>
            </w:r>
          </w:p>
        </w:tc>
        <w:tc>
          <w:tcPr>
            <w:tcW w:type="dxa" w:w="3685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AI 时代的人月神话</w:t>
            </w:r>
          </w:p>
        </w:tc>
        <w:tc>
          <w:tcPr>
            <w:tcW w:type="dxa" w:w="879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05:59</w:t>
            </w:r>
          </w:p>
        </w:tc>
        <w:tc>
          <w:tcPr>
            <w:tcW w:type="dxa" w:w="3685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测试观测和需求变更左移</w:t>
            </w:r>
          </w:p>
        </w:tc>
      </w:tr>
      <w:tr>
        <w:tc>
          <w:tcPr>
            <w:tcW w:type="dxa" w:w="8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08:01</w:t>
            </w:r>
          </w:p>
        </w:tc>
        <w:tc>
          <w:tcPr>
            <w:tcW w:type="dxa" w:w="368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PDFE 与 ABE 岗位职责归并</w:t>
            </w:r>
          </w:p>
        </w:tc>
        <w:tc>
          <w:tcPr>
            <w:tcW w:type="dxa" w:w="8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10:30</w:t>
            </w:r>
          </w:p>
        </w:tc>
        <w:tc>
          <w:tcPr>
            <w:tcW w:type="dxa" w:w="368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没有银弹与根本复杂度</w:t>
            </w:r>
          </w:p>
        </w:tc>
      </w:tr>
      <w:tr>
        <w:tc>
          <w:tcPr>
            <w:tcW w:type="dxa" w:w="879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11:08</w:t>
            </w:r>
          </w:p>
        </w:tc>
        <w:tc>
          <w:tcPr>
            <w:tcW w:type="dxa" w:w="3685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概念完整性与共享 Spec</w:t>
            </w:r>
          </w:p>
        </w:tc>
        <w:tc>
          <w:tcPr>
            <w:tcW w:type="dxa" w:w="879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11:43</w:t>
            </w:r>
          </w:p>
        </w:tc>
        <w:tc>
          <w:tcPr>
            <w:tcW w:type="dxa" w:w="3685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从效率转向价值</w:t>
            </w:r>
          </w:p>
        </w:tc>
      </w:tr>
      <w:tr>
        <w:tc>
          <w:tcPr>
            <w:tcW w:type="dxa" w:w="8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12:51</w:t>
            </w:r>
          </w:p>
        </w:tc>
        <w:tc>
          <w:tcPr>
            <w:tcW w:type="dxa" w:w="368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技能通胀与品味通缩</w:t>
            </w:r>
          </w:p>
        </w:tc>
        <w:tc>
          <w:tcPr>
            <w:tcW w:type="dxa" w:w="8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13:32</w:t>
            </w:r>
          </w:p>
        </w:tc>
        <w:tc>
          <w:tcPr>
            <w:tcW w:type="dxa" w:w="368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业务系统开放的三个方向</w:t>
            </w:r>
          </w:p>
        </w:tc>
      </w:tr>
      <w:tr>
        <w:tc>
          <w:tcPr>
            <w:tcW w:type="dxa" w:w="879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14:00</w:t>
            </w:r>
          </w:p>
        </w:tc>
        <w:tc>
          <w:tcPr>
            <w:tcW w:type="dxa" w:w="3685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界面操作的成本与风险</w:t>
            </w:r>
          </w:p>
        </w:tc>
        <w:tc>
          <w:tcPr>
            <w:tcW w:type="dxa" w:w="879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15:13</w:t>
            </w:r>
          </w:p>
        </w:tc>
        <w:tc>
          <w:tcPr>
            <w:tcW w:type="dxa" w:w="3685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统一概念后开放 MCP</w:t>
            </w:r>
          </w:p>
        </w:tc>
      </w:tr>
      <w:tr>
        <w:tc>
          <w:tcPr>
            <w:tcW w:type="dxa" w:w="8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16:18</w:t>
            </w:r>
          </w:p>
        </w:tc>
        <w:tc>
          <w:tcPr>
            <w:tcW w:type="dxa" w:w="368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智能体沿用员工原有权限</w:t>
            </w:r>
          </w:p>
        </w:tc>
        <w:tc>
          <w:tcPr>
            <w:tcW w:type="dxa" w:w="8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18:26</w:t>
            </w:r>
          </w:p>
        </w:tc>
        <w:tc>
          <w:tcPr>
            <w:tcW w:type="dxa" w:w="368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流程、数据与规则缺口</w:t>
            </w:r>
          </w:p>
        </w:tc>
      </w:tr>
      <w:tr>
        <w:tc>
          <w:tcPr>
            <w:tcW w:type="dxa" w:w="879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18:48</w:t>
            </w:r>
          </w:p>
        </w:tc>
        <w:tc>
          <w:tcPr>
            <w:tcW w:type="dxa" w:w="3685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业务团队开发者运营</w:t>
            </w:r>
          </w:p>
        </w:tc>
        <w:tc>
          <w:tcPr>
            <w:tcW w:type="dxa" w:w="879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20:29</w:t>
            </w:r>
          </w:p>
        </w:tc>
        <w:tc>
          <w:tcPr>
            <w:tcW w:type="dxa" w:w="3685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长尾探索与一方 Agent 沉淀</w:t>
            </w:r>
          </w:p>
        </w:tc>
      </w:tr>
      <w:tr>
        <w:tc>
          <w:tcPr>
            <w:tcW w:type="dxa" w:w="8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21:04</w:t>
            </w:r>
          </w:p>
        </w:tc>
        <w:tc>
          <w:tcPr>
            <w:tcW w:type="dxa" w:w="368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CIO 团队职能变化</w:t>
            </w:r>
          </w:p>
        </w:tc>
        <w:tc>
          <w:tcPr>
            <w:tcW w:type="dxa" w:w="8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22:35</w:t>
            </w:r>
          </w:p>
        </w:tc>
        <w:tc>
          <w:tcPr>
            <w:tcW w:type="dxa" w:w="368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28 类数字员工与 2000+ HC</w:t>
            </w:r>
          </w:p>
        </w:tc>
      </w:tr>
      <w:tr>
        <w:tc>
          <w:tcPr>
            <w:tcW w:type="dxa" w:w="879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23:17</w:t>
            </w:r>
          </w:p>
        </w:tc>
        <w:tc>
          <w:tcPr>
            <w:tcW w:type="dxa" w:w="3685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RIDE 方法</w:t>
            </w:r>
          </w:p>
        </w:tc>
        <w:tc>
          <w:tcPr>
            <w:tcW w:type="dxa" w:w="879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24:47</w:t>
            </w:r>
          </w:p>
        </w:tc>
        <w:tc>
          <w:tcPr>
            <w:tcW w:type="dxa" w:w="3685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客户对落地门槛的反馈</w:t>
            </w:r>
          </w:p>
        </w:tc>
      </w:tr>
      <w:tr>
        <w:tc>
          <w:tcPr>
            <w:tcW w:type="dxa" w:w="8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25:23</w:t>
            </w:r>
          </w:p>
        </w:tc>
        <w:tc>
          <w:tcPr>
            <w:tcW w:type="dxa" w:w="368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睿系列 RaaS 产品</w:t>
            </w:r>
          </w:p>
        </w:tc>
        <w:tc>
          <w:tcPr>
            <w:tcW w:type="dxa" w:w="8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28:14</w:t>
            </w:r>
          </w:p>
        </w:tc>
        <w:tc>
          <w:tcPr>
            <w:tcW w:type="dxa" w:w="368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阿里云实践时间线</w:t>
            </w:r>
          </w:p>
        </w:tc>
      </w:tr>
      <w:tr>
        <w:tc>
          <w:tcPr>
            <w:tcW w:type="dxa" w:w="879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29:24</w:t>
            </w:r>
          </w:p>
        </w:tc>
        <w:tc>
          <w:tcPr>
            <w:tcW w:type="dxa" w:w="3685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AI Native 组织的定义</w:t>
            </w:r>
          </w:p>
        </w:tc>
        <w:tc>
          <w:tcPr>
            <w:tcW w:type="dxa" w:w="879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30:23</w:t>
            </w:r>
          </w:p>
        </w:tc>
        <w:tc>
          <w:tcPr>
            <w:tcW w:type="dxa" w:w="3685"/>
            <w:vAlign w:val="center"/>
            <w:shd w:fill="F7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76" w:lineRule="auto"/>
              <w:ind w:firstLine="0"/>
            </w:pPr>
            <w:r>
              <w:rPr>
                <w:sz w:val="17"/>
              </w:rPr>
              <w:t>阿里云 CIO 线的目标</w:t>
            </w:r>
          </w:p>
        </w:tc>
      </w:tr>
    </w:tbl>
    <w:p>
      <w:pPr>
        <w:pStyle w:val="Heading1"/>
      </w:pPr>
      <w:r>
        <w:t>整理说明</w:t>
      </w:r>
    </w:p>
    <w:p>
      <w:pPr>
        <w:ind w:firstLine="0" w:left="312"/>
      </w:pPr>
      <w:r>
        <w:t>•  共享笔记标题与人物标记写作“蒋林泉”；用户消息中的“蒋临泉”与来源不一致，本稿采用来源写法。</w:t>
      </w:r>
    </w:p>
    <w:p>
      <w:pPr>
        <w:ind w:firstLine="0" w:left="312"/>
      </w:pPr>
      <w:r>
        <w:t>•  录音逐字记录中有多处明显误听。PPT 可核对的名称统一为 PDFE、ABE、RIDE、睿系列 RaaS；无法从照片核实的具体产品子名称未写入正文。</w:t>
      </w:r>
    </w:p>
    <w:p>
      <w:pPr>
        <w:ind w:firstLine="0" w:left="312"/>
      </w:pPr>
      <w:r>
        <w:t>•  录音开头已经进入“AI 提效比例”的论证，缺失的开场没有补写。除去其他人的插话后，以过渡句连贯章节；这些过渡句属于整理表达。</w:t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36" w:lineRule="auto"/>
      <w:ind w:firstLine="420"/>
    </w:pPr>
    <w:rPr>
      <w:rFonts w:ascii="Arial Unicode MS" w:hAnsi="Arial Unicode MS" w:eastAsia="Arial Unicode MS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